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_GBK" w:hAnsi="华文中宋" w:eastAsia="方正小标宋_GBK" w:cs="Times New Roman"/>
          <w:b/>
          <w:bCs/>
          <w:spacing w:val="3"/>
          <w:kern w:val="2"/>
          <w:sz w:val="44"/>
          <w:szCs w:val="44"/>
          <w:lang w:val="en-US" w:eastAsia="zh-CN" w:bidi="ar-SA"/>
        </w:rPr>
      </w:pPr>
      <w:r>
        <w:rPr>
          <w:rFonts w:hint="eastAsia" w:ascii="方正小标宋_GBK" w:hAnsi="华文中宋" w:eastAsia="方正小标宋_GBK" w:cs="Times New Roman"/>
          <w:b/>
          <w:bCs/>
          <w:spacing w:val="3"/>
          <w:kern w:val="2"/>
          <w:sz w:val="44"/>
          <w:szCs w:val="44"/>
          <w:lang w:val="en-US" w:eastAsia="zh-CN" w:bidi="ar-SA"/>
        </w:rPr>
        <w:t>惠州市国有建设用地使用权</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_GBK" w:hAnsi="华文中宋" w:eastAsia="方正小标宋_GBK" w:cs="Times New Roman"/>
          <w:b/>
          <w:bCs/>
          <w:spacing w:val="3"/>
          <w:kern w:val="2"/>
          <w:sz w:val="44"/>
          <w:szCs w:val="44"/>
          <w:lang w:val="en-US" w:eastAsia="zh-CN" w:bidi="ar-SA"/>
        </w:rPr>
      </w:pPr>
      <w:r>
        <w:rPr>
          <w:rFonts w:hint="eastAsia" w:ascii="方正小标宋_GBK" w:hAnsi="华文中宋" w:eastAsia="方正小标宋_GBK" w:cs="Times New Roman"/>
          <w:b/>
          <w:bCs/>
          <w:spacing w:val="3"/>
          <w:kern w:val="2"/>
          <w:sz w:val="44"/>
          <w:szCs w:val="44"/>
          <w:lang w:val="en-US" w:eastAsia="zh-CN" w:bidi="ar-SA"/>
        </w:rPr>
        <w:t>网上挂牌出让须知</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惠公易土市直[2021]050号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（一）挂牌地块编号：GP2021-</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（二）地块位置：</w:t>
      </w:r>
      <w:r>
        <w:rPr>
          <w:rFonts w:hint="eastAsia" w:ascii="仿宋_GB2312" w:hAnsi="仿宋_GB2312" w:eastAsia="仿宋_GB2312" w:cs="仿宋_GB2312"/>
          <w:sz w:val="32"/>
          <w:szCs w:val="32"/>
          <w:lang w:val="en-US" w:eastAsia="zh-CN"/>
        </w:rPr>
        <w:t>惠州市惠城区</w:t>
      </w:r>
      <w:r>
        <w:rPr>
          <w:rFonts w:hint="eastAsia" w:ascii="仿宋_GB2312" w:hAnsi="仿宋_GB2312" w:eastAsia="仿宋_GB2312" w:cs="仿宋_GB2312"/>
          <w:sz w:val="32"/>
          <w:szCs w:val="32"/>
          <w:lang w:eastAsia="zh-CN"/>
        </w:rPr>
        <w:t>河南岸片区HNA19-13地块</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用地</w:t>
      </w: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lang w:eastAsia="zh-CN"/>
        </w:rPr>
        <w:t>HNA19-13</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（四）地块范围：</w:t>
      </w:r>
      <w:r>
        <w:rPr>
          <w:rFonts w:hint="eastAsia" w:ascii="仿宋_GB2312" w:hAnsi="仿宋_GB2312" w:eastAsia="仿宋_GB2312" w:cs="仿宋_GB2312"/>
          <w:kern w:val="2"/>
          <w:sz w:val="32"/>
          <w:szCs w:val="32"/>
        </w:rPr>
        <w:t>平面界址点</w:t>
      </w:r>
      <w:r>
        <w:rPr>
          <w:rFonts w:hint="eastAsia" w:ascii="仿宋_GB2312" w:hAnsi="仿宋_GB2312" w:eastAsia="仿宋_GB2312" w:cs="仿宋_GB2312"/>
          <w:kern w:val="2"/>
          <w:sz w:val="32"/>
          <w:szCs w:val="32"/>
          <w:lang w:eastAsia="zh-CN"/>
        </w:rPr>
        <w:t>以建设用地红线图</w:t>
      </w:r>
      <w:r>
        <w:rPr>
          <w:rFonts w:hint="eastAsia" w:ascii="仿宋_GB2312" w:hAnsi="仿宋_GB2312" w:eastAsia="仿宋_GB2312" w:cs="仿宋_GB2312"/>
          <w:kern w:val="2"/>
          <w:sz w:val="32"/>
          <w:szCs w:val="32"/>
        </w:rPr>
        <w:t>为准，宗地竖向界限以《规划设计条件告知书（案卷编号：</w:t>
      </w:r>
      <w:r>
        <w:rPr>
          <w:rFonts w:hint="eastAsia" w:ascii="仿宋_GB2312" w:hAnsi="仿宋_GB2312" w:eastAsia="仿宋_GB2312" w:cs="仿宋_GB2312"/>
          <w:kern w:val="2"/>
          <w:sz w:val="32"/>
          <w:szCs w:val="32"/>
          <w:lang w:val="en-US" w:eastAsia="zh-CN" w:bidi="ar-SA"/>
        </w:rPr>
        <w:t>PB20210030</w:t>
      </w:r>
      <w:r>
        <w:rPr>
          <w:rFonts w:hint="eastAsia" w:ascii="仿宋_GB2312" w:hAnsi="仿宋_GB2312" w:eastAsia="仿宋_GB2312" w:cs="仿宋_GB2312"/>
          <w:kern w:val="2"/>
          <w:sz w:val="32"/>
          <w:szCs w:val="32"/>
        </w:rPr>
        <w:t>）》（以下简称“《告知书》”）规定为准</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地下室</w:t>
      </w:r>
      <w:r>
        <w:rPr>
          <w:rFonts w:hint="eastAsia" w:ascii="仿宋_GB2312" w:hAnsi="仿宋_GB2312" w:eastAsia="仿宋_GB2312" w:cs="仿宋_GB2312"/>
          <w:sz w:val="32"/>
          <w:szCs w:val="32"/>
        </w:rPr>
        <w:t>宗地使用权面积为：</w:t>
      </w:r>
      <w:r>
        <w:rPr>
          <w:rFonts w:hint="eastAsia" w:ascii="仿宋_GB2312" w:hAnsi="仿宋_GB2312" w:eastAsia="仿宋_GB2312" w:cs="仿宋_GB2312"/>
          <w:sz w:val="32"/>
          <w:szCs w:val="32"/>
          <w:lang w:val="en-US" w:eastAsia="zh-CN"/>
        </w:rPr>
        <w:t>12714.06</w:t>
      </w:r>
      <w:r>
        <w:rPr>
          <w:rFonts w:hint="eastAsia" w:ascii="仿宋_GB2312" w:hAnsi="仿宋_GB2312" w:eastAsia="仿宋_GB2312" w:cs="仿宋_GB2312"/>
          <w:sz w:val="32"/>
          <w:szCs w:val="32"/>
        </w:rPr>
        <w:t>平方米；</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（六）计算指标用地面积为：</w:t>
      </w:r>
      <w:r>
        <w:rPr>
          <w:rFonts w:hint="eastAsia" w:ascii="仿宋_GB2312" w:hAnsi="仿宋_GB2312" w:eastAsia="仿宋_GB2312" w:cs="仿宋_GB2312"/>
          <w:kern w:val="2"/>
          <w:sz w:val="32"/>
          <w:szCs w:val="32"/>
          <w:lang w:val="en-US" w:eastAsia="zh-CN" w:bidi="ar-SA"/>
        </w:rPr>
        <w:t>16368</w:t>
      </w:r>
      <w:r>
        <w:rPr>
          <w:rFonts w:hint="eastAsia" w:ascii="仿宋_GB2312" w:hAnsi="仿宋_GB2312" w:eastAsia="仿宋_GB2312" w:cs="仿宋_GB2312"/>
          <w:sz w:val="32"/>
          <w:szCs w:val="32"/>
        </w:rPr>
        <w:t>平方米；</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（七）计容积率建筑面积为：≤</w:t>
      </w:r>
      <w:r>
        <w:rPr>
          <w:rFonts w:hint="eastAsia" w:ascii="仿宋_GB2312" w:hAnsi="仿宋_GB2312" w:eastAsia="仿宋_GB2312" w:cs="仿宋_GB2312"/>
          <w:sz w:val="32"/>
          <w:szCs w:val="32"/>
          <w:lang w:val="en-US" w:eastAsia="zh-CN"/>
        </w:rPr>
        <w:t>44193</w:t>
      </w:r>
      <w:r>
        <w:rPr>
          <w:rFonts w:hint="eastAsia" w:ascii="仿宋_GB2312" w:hAnsi="仿宋_GB2312" w:eastAsia="仿宋_GB2312" w:cs="仿宋_GB2312"/>
          <w:sz w:val="32"/>
          <w:szCs w:val="32"/>
        </w:rPr>
        <w:t>平方米；</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文化用地+娱乐康体用地</w:t>
      </w:r>
      <w:r>
        <w:rPr>
          <w:rFonts w:hint="eastAsia" w:ascii="仿宋_GB2312" w:hAnsi="仿宋_GB2312" w:eastAsia="仿宋_GB2312" w:cs="仿宋_GB2312"/>
          <w:sz w:val="32"/>
          <w:szCs w:val="32"/>
          <w:lang w:eastAsia="zh-CN"/>
        </w:rPr>
        <w:t>兼容</w:t>
      </w:r>
      <w:r>
        <w:rPr>
          <w:rFonts w:hint="eastAsia" w:ascii="仿宋_GB2312" w:hAnsi="仿宋_GB2312" w:eastAsia="仿宋_GB2312" w:cs="仿宋_GB2312"/>
          <w:sz w:val="32"/>
          <w:szCs w:val="32"/>
          <w:lang w:val="en-US" w:eastAsia="zh-CN"/>
        </w:rPr>
        <w:t>地下</w:t>
      </w:r>
      <w:r>
        <w:rPr>
          <w:rFonts w:hint="eastAsia" w:ascii="仿宋_GB2312" w:hAnsi="仿宋_GB2312" w:eastAsia="仿宋_GB2312" w:cs="仿宋_GB2312"/>
          <w:sz w:val="32"/>
          <w:szCs w:val="32"/>
          <w:lang w:eastAsia="zh-CN"/>
        </w:rPr>
        <w:t>停车场</w:t>
      </w:r>
      <w:r>
        <w:rPr>
          <w:rFonts w:hint="eastAsia" w:ascii="仿宋_GB2312" w:hAnsi="仿宋_GB2312" w:eastAsia="仿宋_GB2312" w:cs="仿宋_GB2312"/>
          <w:sz w:val="32"/>
          <w:szCs w:val="32"/>
        </w:rPr>
        <w:t>用地；</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交通服务场站用地50年、文化设施用地50年、城镇住宅用地70年、商服用地40年</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（十）适建性：</w:t>
      </w:r>
      <w:r>
        <w:rPr>
          <w:rFonts w:hint="eastAsia" w:ascii="仿宋_GB2312" w:hAnsi="仿宋_GB2312" w:eastAsia="仿宋_GB2312" w:cs="仿宋_GB2312"/>
          <w:sz w:val="32"/>
          <w:szCs w:val="32"/>
          <w:lang w:val="en-US" w:eastAsia="zh-CN" w:bidi="ar-SA"/>
        </w:rPr>
        <w:t>文化设施、娱乐康体设施、住宅、地下停车场、商业及配套设施</w:t>
      </w:r>
      <w:r>
        <w:rPr>
          <w:rFonts w:hint="eastAsia" w:ascii="仿宋_GB2312" w:hAnsi="仿宋_GB2312" w:eastAsia="仿宋_GB2312" w:cs="仿宋_GB2312"/>
          <w:sz w:val="32"/>
          <w:szCs w:val="32"/>
        </w:rPr>
        <w:t>；</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机动车停车位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地下三层机动车停车位≥900个</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（其中：配套停车位≥442个；社会公共停车位≥458个）</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动工及竣工时间：</w:t>
      </w:r>
      <w:r>
        <w:rPr>
          <w:rFonts w:hint="eastAsia" w:ascii="仿宋_GB2312" w:hAnsi="仿宋_GB2312" w:eastAsia="仿宋_GB2312" w:cs="仿宋_GB2312"/>
          <w:kern w:val="2"/>
          <w:sz w:val="32"/>
          <w:szCs w:val="32"/>
          <w:lang w:val="en-US" w:eastAsia="zh-CN" w:bidi="ar-SA"/>
        </w:rPr>
        <w:t>地块动工时间为地块交付之日起一年内，竣工时间为动工之日起三年内（因不可抗拒因素除外）</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）竞得人在缴清地价款后一个月内办理交地手续，凭《交地确认书》、《出让合同》（正本）和地价款交款凭证等申请办理土地初始登记，领取《不动产权证书》。</w:t>
      </w:r>
      <w:r>
        <w:rPr>
          <w:rFonts w:hint="eastAsia" w:ascii="宋体" w:hAnsi="宋体" w:eastAsia="宋体" w:cs="宋体"/>
          <w:sz w:val="25"/>
          <w:szCs w:val="25"/>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四、土地开发及使用规定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Times New Roman" w:hAnsi="Calibri" w:eastAsia="仿宋_GB2312" w:cs="Times New Roman"/>
          <w:kern w:val="2"/>
          <w:sz w:val="32"/>
          <w:szCs w:val="32"/>
          <w:lang w:val="en-US" w:eastAsia="zh-CN" w:bidi="ar-SA"/>
        </w:rPr>
        <w:t>36760</w:t>
      </w:r>
      <w:r>
        <w:rPr>
          <w:rFonts w:hint="eastAsia" w:ascii="仿宋_GB2312" w:hAnsi="仿宋_GB2312" w:eastAsia="仿宋_GB2312" w:cs="仿宋_GB2312"/>
          <w:sz w:val="32"/>
          <w:szCs w:val="32"/>
        </w:rPr>
        <w:t>万元（含地价,不含地价溢价部分）。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auto"/>
          <w:sz w:val="32"/>
          <w:szCs w:val="32"/>
        </w:rPr>
        <w:t>土地成交价款须以人民币支付，竞得人须在签订《出让合同》之日起一个月内缴清土地成交价款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default" w:ascii="Times New Roman" w:hAnsi="Times New Roman" w:eastAsia="仿宋_GB2312" w:cs="Times New Roman"/>
          <w:kern w:val="2"/>
          <w:sz w:val="32"/>
          <w:szCs w:val="32"/>
          <w:highlight w:val="none"/>
        </w:rPr>
        <w:t>竞得人在用地红线内开发建设必须符合城市规划要求，必须按《</w:t>
      </w:r>
      <w:r>
        <w:rPr>
          <w:rFonts w:hint="default" w:ascii="Times New Roman" w:hAnsi="Times New Roman" w:eastAsia="仿宋_GB2312" w:cs="Times New Roman"/>
          <w:kern w:val="2"/>
          <w:sz w:val="32"/>
          <w:szCs w:val="32"/>
        </w:rPr>
        <w:t>建设用地规划设计条件</w:t>
      </w:r>
      <w:r>
        <w:rPr>
          <w:rFonts w:hint="default" w:ascii="Times New Roman" w:hAnsi="Times New Roman" w:eastAsia="仿宋_GB2312" w:cs="Times New Roman"/>
          <w:kern w:val="2"/>
          <w:sz w:val="32"/>
          <w:szCs w:val="32"/>
          <w:highlight w:val="none"/>
        </w:rPr>
        <w:t>》（案卷编号：PB202100</w:t>
      </w:r>
      <w:r>
        <w:rPr>
          <w:rFonts w:hint="eastAsia" w:ascii="Times New Roman" w:hAnsi="Times New Roman" w:eastAsia="仿宋_GB2312" w:cs="Times New Roman"/>
          <w:kern w:val="2"/>
          <w:sz w:val="32"/>
          <w:szCs w:val="32"/>
          <w:highlight w:val="none"/>
          <w:lang w:val="en-US" w:eastAsia="zh-CN"/>
        </w:rPr>
        <w:t>30</w:t>
      </w:r>
      <w:r>
        <w:rPr>
          <w:rFonts w:hint="default" w:ascii="Times New Roman" w:hAnsi="Times New Roman" w:eastAsia="仿宋_GB2312" w:cs="Times New Roman"/>
          <w:kern w:val="2"/>
          <w:sz w:val="32"/>
          <w:szCs w:val="32"/>
          <w:highlight w:val="none"/>
        </w:rPr>
        <w:t>）规划控制指标要求及有关规定进行规划设计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default" w:ascii="Times New Roman" w:hAnsi="Times New Roman" w:eastAsia="仿宋_GB2312" w:cs="Times New Roman"/>
          <w:kern w:val="2"/>
          <w:sz w:val="32"/>
          <w:szCs w:val="32"/>
        </w:rPr>
        <w:t>该地属政府储备地，没有法律经济纠纷，具备动工开发所必须的基本条件</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中华人民共和国境内外的法人、自然人和其他组织（除法律法规另有规定外）均可申请参加竞买。申请人可以单独申请，也可以联合申请</w:t>
      </w:r>
      <w:r>
        <w:rPr>
          <w:rFonts w:hint="eastAsia" w:ascii="仿宋_GB2312" w:hAnsi="仿宋_GB2312" w:eastAsia="仿宋_GB2312" w:cs="仿宋_GB2312"/>
          <w:kern w:val="2"/>
          <w:sz w:val="32"/>
          <w:szCs w:val="32"/>
          <w:lang w:val="en-US" w:eastAsia="zh-CN" w:bidi="ar-SA"/>
        </w:rPr>
        <w:t>。申请人还应具备下列条件：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按时足额交纳竞买保证金。该宗地竞买保证金可用人民币或外币（暂限于美元、港币）支付。以人民币缴交竞买保证金的，须缴交人民币7050万元，如以外币缴交竞买保证金的，须缴交美元1093万元、港币8491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（三）申请人及其控股股东存在下列违法、违规、违约行为之一的，不得参与上述地块竞买活动：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1.存在伪造公文骗取用地和非法倒卖土地等犯罪行为的；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2.存在非法转让土地使用权等违法行为的；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3.因企业原因造成土地闲置一年以上且至报名日止未处罚完结的；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4.开发建设企业有</w:t>
      </w:r>
      <w:r>
        <w:rPr>
          <w:rFonts w:hint="eastAsia" w:ascii="仿宋_GB2312" w:hAnsi="仿宋_GB2312" w:eastAsia="仿宋_GB2312" w:cs="仿宋_GB2312"/>
          <w:sz w:val="32"/>
          <w:szCs w:val="32"/>
        </w:rPr>
        <w:t>违背</w:t>
      </w:r>
      <w:r>
        <w:rPr>
          <w:rFonts w:hint="eastAsia" w:ascii="仿宋_GB2312" w:hAnsi="仿宋_GB2312" w:eastAsia="仿宋_GB2312" w:cs="仿宋_GB2312"/>
          <w:color w:val="000000"/>
          <w:sz w:val="32"/>
          <w:szCs w:val="32"/>
        </w:rPr>
        <w:t>出让合同约定条件开发利用土地情形且至报名日止未处罚完结的；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5.至报名日止仍拖欠政府地价款的;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6.被列入问题楼盘开发企业黑名单的;</w:t>
      </w:r>
    </w:p>
    <w:p>
      <w:pPr>
        <w:spacing w:line="560" w:lineRule="exact"/>
        <w:ind w:firstLine="627" w:firstLineChars="196"/>
        <w:jc w:val="both"/>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sz w:val="32"/>
          <w:szCs w:val="32"/>
          <w:lang w:val="en-US" w:eastAsia="zh-CN" w:bidi="ar-SA"/>
        </w:rPr>
        <w:t>购地资金超过“三道红线”，存在重大失信行为的；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存在其它被禁止竞买土地行为的。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六、违约及处理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sz w:val="32"/>
          <w:szCs w:val="32"/>
        </w:rPr>
        <w:t>竞得人有下列行为之一的，取消竞得人资格，</w:t>
      </w:r>
      <w:r>
        <w:rPr>
          <w:rFonts w:hint="default" w:ascii="Times New Roman" w:hAnsi="Times New Roman" w:eastAsia="仿宋_GB2312" w:cs="Times New Roman"/>
          <w:sz w:val="32"/>
          <w:szCs w:val="32"/>
          <w:lang w:val="en-US" w:eastAsia="zh-CN"/>
        </w:rPr>
        <w:t>竞买保证金不予退还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并由有关部门依法处理，</w:t>
      </w:r>
      <w:r>
        <w:rPr>
          <w:rFonts w:hint="default" w:ascii="Times New Roman" w:hAnsi="Times New Roman" w:eastAsia="仿宋_GB2312" w:cs="Times New Roman"/>
          <w:sz w:val="32"/>
          <w:szCs w:val="32"/>
        </w:rPr>
        <w:t>造成损失的，竞得人还应依法承担赔偿责任</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（一）不符合竞买资格条件的。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（二）采取行贿、恶意串通等非法手段竞得的。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（三）竞得人以其他非法手段竞得的。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（四）竞得人逾期或拒绝签订《成交确认书》的。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（五）竞得人逾期或拒绝签订《出让合同》的。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（六）不按本须知规定提供有关纸质文件材料，或提供虚假文件材料、隐瞒重要事实，引起交易纠纷的。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pPr>
      <w:r>
        <w:rPr>
          <w:rFonts w:hint="eastAsia" w:ascii="仿宋_GB2312" w:hAnsi="仿宋_GB2312" w:eastAsia="仿宋_GB2312" w:cs="仿宋_GB2312"/>
          <w:kern w:val="2"/>
          <w:sz w:val="32"/>
          <w:szCs w:val="32"/>
          <w:lang w:val="en-US" w:eastAsia="zh-CN" w:bidi="ar-SA"/>
        </w:rPr>
        <w:t>（七）构成违约责任的其他行为。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七、网上挂牌出让地块的起始价、增加幅度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挂牌起始价为人民币</w:t>
      </w:r>
      <w:r>
        <w:rPr>
          <w:rFonts w:hint="eastAsia" w:ascii="仿宋_GB2312" w:hAnsi="仿宋_GB2312" w:eastAsia="仿宋_GB2312" w:cs="仿宋_GB2312"/>
          <w:sz w:val="32"/>
          <w:szCs w:val="32"/>
        </w:rPr>
        <w:t>人民币</w:t>
      </w:r>
      <w:r>
        <w:rPr>
          <w:rFonts w:hint="eastAsia" w:ascii="仿宋_GB2312" w:hAnsi="仿宋_GB2312" w:eastAsia="仿宋_GB2312" w:cs="仿宋_GB2312"/>
          <w:sz w:val="32"/>
          <w:szCs w:val="32"/>
          <w:u w:val="single"/>
          <w:lang w:val="en-US" w:eastAsia="zh-CN"/>
        </w:rPr>
        <w:t>贰亿叁仟伍佰万元整</w:t>
      </w:r>
      <w:r>
        <w:rPr>
          <w:rFonts w:hint="eastAsia" w:ascii="仿宋_GB2312" w:hAnsi="仿宋_GB2312" w:eastAsia="仿宋_GB2312" w:cs="仿宋_GB2312"/>
          <w:sz w:val="32"/>
          <w:szCs w:val="32"/>
          <w:u w:val="none"/>
          <w:lang w:val="en-US" w:eastAsia="zh-CN"/>
        </w:rPr>
        <w:t>（￥</w:t>
      </w:r>
      <w:r>
        <w:rPr>
          <w:rFonts w:hint="eastAsia" w:ascii="Times New Roman" w:hAnsi="Times New Roman" w:eastAsia="仿宋_GB2312" w:cs="Times New Roman"/>
          <w:kern w:val="2"/>
          <w:sz w:val="32"/>
          <w:szCs w:val="22"/>
          <w:u w:val="single"/>
          <w:lang w:val="en-US" w:eastAsia="zh-CN" w:bidi="ar-SA"/>
        </w:rPr>
        <w:t>23500</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kern w:val="2"/>
          <w:sz w:val="32"/>
          <w:szCs w:val="32"/>
          <w:lang w:val="en-US" w:eastAsia="zh-CN" w:bidi="ar-SA"/>
        </w:rPr>
        <w:t>,增价幅度为人民币</w:t>
      </w:r>
      <w:r>
        <w:rPr>
          <w:rFonts w:hint="eastAsia" w:ascii="仿宋_GB2312" w:hAnsi="仿宋_GB2312" w:eastAsia="仿宋_GB2312" w:cs="仿宋_GB2312"/>
          <w:sz w:val="32"/>
          <w:szCs w:val="32"/>
          <w:u w:val="single"/>
          <w:lang w:val="en-US" w:eastAsia="zh-CN"/>
        </w:rPr>
        <w:t>壹佰万元整</w:t>
      </w:r>
      <w:r>
        <w:rPr>
          <w:rFonts w:hint="eastAsia" w:ascii="仿宋_GB2312" w:hAnsi="仿宋_GB2312" w:eastAsia="仿宋_GB2312" w:cs="仿宋_GB2312"/>
          <w:sz w:val="32"/>
          <w:szCs w:val="32"/>
          <w:u w:val="none"/>
          <w:lang w:val="en-US" w:eastAsia="zh-CN"/>
        </w:rPr>
        <w:t>（￥</w:t>
      </w:r>
      <w:r>
        <w:rPr>
          <w:rFonts w:hint="eastAsia" w:ascii="Times New Roman" w:hAnsi="Times New Roman" w:eastAsia="仿宋_GB2312" w:cs="Times New Roman"/>
          <w:kern w:val="2"/>
          <w:sz w:val="32"/>
          <w:szCs w:val="22"/>
          <w:u w:val="single"/>
          <w:lang w:val="en-US" w:eastAsia="zh-CN" w:bidi="ar-SA"/>
        </w:rPr>
        <w:t>100</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八、本次网上挂牌出让活动有关时间</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网上挂牌时间为10个工作日，不包括法定节假日。具体如下：</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（一）网上挂牌起始时间：2021年12月1日9时。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（二）网上挂牌截止时间：2021年12月15日10时。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（三）网上挂牌交纳保证金截止时间：2021年12月15日9时。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（四）网上挂牌报价时间：网上挂牌起止时间内。</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九、挂牌文件获取</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挂牌出让地块现状图；</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sz w:val="32"/>
          <w:szCs w:val="32"/>
        </w:rPr>
        <w:t>《建设用地规划设计条件》（案卷编号：PB202100</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val="en-US" w:eastAsia="zh-CN"/>
        </w:rPr>
        <w:t>国有建设用地使用权电子挂牌</w:t>
      </w:r>
      <w:r>
        <w:rPr>
          <w:rFonts w:hint="eastAsia" w:ascii="仿宋_GB2312" w:hAnsi="仿宋_GB2312" w:eastAsia="仿宋_GB2312" w:cs="仿宋_GB2312"/>
          <w:sz w:val="32"/>
          <w:szCs w:val="32"/>
        </w:rPr>
        <w:t>交易成交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书”）样本；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《国有建设用地使用权出让合同》（以下简称“出让合同”）样本；</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sz w:val="32"/>
          <w:szCs w:val="32"/>
          <w:lang w:val="en-US" w:eastAsia="zh-CN"/>
        </w:rPr>
        <w:t>8、其他相关文件</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十、办理数字证书</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w:t>
      </w:r>
      <w:r>
        <w:rPr>
          <w:rFonts w:hint="eastAsia" w:ascii="仿宋_GB2312" w:hAnsi="仿宋_GB2312" w:eastAsia="仿宋_GB2312" w:cs="仿宋_GB2312"/>
          <w:sz w:val="32"/>
          <w:szCs w:val="32"/>
        </w:rPr>
        <w:t>0752-7121029</w:t>
      </w:r>
      <w:r>
        <w:rPr>
          <w:rFonts w:hint="eastAsia" w:ascii="仿宋_GB2312" w:hAnsi="仿宋_GB2312" w:eastAsia="仿宋_GB2312" w:cs="仿宋_GB2312"/>
          <w:sz w:val="32"/>
          <w:szCs w:val="32"/>
          <w:highlight w:val="none"/>
        </w:rPr>
        <w:t>）申请办理。</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数字证书的办理流程详见网上挂牌交易系统上的《数字证书办理指南》</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十一、答疑及现场踏勘</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申请人对网上挂牌出让文件有疑问的，可在网上挂牌活动开始前以书面或者口头方式向本中心咨询。有意竞买者可自行踏勘现场。（可在网上查阅位置图和现状图）。</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十二、竞买保证金</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（一）竞买保证金是申请人参加网上挂牌交易活动的资格条件。按规定将竞买保证金汇入指定账户，是参加网上挂牌交易活动的必经程序。</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（二）本宗地竞买保证金到账截止时间为2021年12月15日9时整，竞买保证金为人民币</w:t>
      </w:r>
      <w:r>
        <w:rPr>
          <w:rFonts w:hint="eastAsia" w:ascii="仿宋_GB2312" w:hAnsi="仿宋_GB2312" w:eastAsia="仿宋_GB2312" w:cs="仿宋_GB2312"/>
          <w:kern w:val="2"/>
          <w:sz w:val="32"/>
          <w:szCs w:val="32"/>
          <w:u w:val="single"/>
          <w:lang w:val="en-US" w:eastAsia="zh-CN" w:bidi="ar-SA"/>
        </w:rPr>
        <w:t>柒仟零伍拾万元整</w:t>
      </w:r>
      <w:r>
        <w:rPr>
          <w:rFonts w:hint="eastAsia" w:ascii="仿宋_GB2312" w:hAnsi="仿宋_GB2312" w:eastAsia="仿宋_GB2312" w:cs="仿宋_GB2312"/>
          <w:sz w:val="32"/>
          <w:szCs w:val="32"/>
          <w:u w:val="none"/>
          <w:lang w:val="en-US" w:eastAsia="zh-CN"/>
        </w:rPr>
        <w:t>（￥</w:t>
      </w:r>
      <w:r>
        <w:rPr>
          <w:rFonts w:hint="eastAsia" w:ascii="Times New Roman" w:hAnsi="Times New Roman" w:eastAsia="仿宋_GB2312" w:cs="Times New Roman"/>
          <w:kern w:val="2"/>
          <w:sz w:val="32"/>
          <w:szCs w:val="22"/>
          <w:u w:val="single"/>
          <w:lang w:val="en-US" w:eastAsia="zh-CN" w:bidi="ar-SA"/>
        </w:rPr>
        <w:t>7050</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kern w:val="2"/>
          <w:sz w:val="32"/>
          <w:szCs w:val="32"/>
          <w:lang w:val="en-US" w:eastAsia="zh-CN" w:bidi="ar-SA"/>
        </w:rPr>
        <w:t>；如以外币缴交竞买保证金的，须缴交美元</w:t>
      </w:r>
      <w:r>
        <w:rPr>
          <w:rFonts w:hint="eastAsia" w:ascii="仿宋_GB2312" w:hAnsi="仿宋_GB2312" w:eastAsia="仿宋_GB2312" w:cs="仿宋_GB2312"/>
          <w:sz w:val="32"/>
          <w:szCs w:val="32"/>
          <w:u w:val="single"/>
          <w:lang w:val="en-US" w:eastAsia="zh-CN"/>
        </w:rPr>
        <w:t>壹仟零玖拾叁万元整</w:t>
      </w:r>
      <w:r>
        <w:rPr>
          <w:rFonts w:hint="eastAsia" w:ascii="仿宋_GB2312" w:hAnsi="仿宋_GB2312" w:eastAsia="仿宋_GB2312" w:cs="仿宋_GB2312"/>
          <w:sz w:val="32"/>
          <w:szCs w:val="32"/>
          <w:u w:val="none"/>
          <w:lang w:val="en-US" w:eastAsia="zh-CN"/>
        </w:rPr>
        <w:t>（￥</w:t>
      </w:r>
      <w:r>
        <w:rPr>
          <w:rFonts w:hint="eastAsia" w:ascii="Times New Roman" w:hAnsi="Times New Roman" w:eastAsia="仿宋_GB2312" w:cs="Times New Roman"/>
          <w:kern w:val="2"/>
          <w:sz w:val="32"/>
          <w:szCs w:val="22"/>
          <w:u w:val="single"/>
          <w:lang w:val="en-US" w:eastAsia="zh-CN" w:bidi="ar-SA"/>
        </w:rPr>
        <w:t>1093</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kern w:val="2"/>
          <w:sz w:val="32"/>
          <w:szCs w:val="32"/>
          <w:u w:val="none"/>
          <w:lang w:val="en-US" w:eastAsia="zh-CN" w:bidi="ar-SA"/>
        </w:rPr>
        <w:t>或港币</w:t>
      </w:r>
      <w:r>
        <w:rPr>
          <w:rFonts w:hint="eastAsia" w:ascii="仿宋_GB2312" w:hAnsi="仿宋_GB2312" w:eastAsia="仿宋_GB2312" w:cs="仿宋_GB2312"/>
          <w:sz w:val="32"/>
          <w:szCs w:val="32"/>
          <w:u w:val="single"/>
          <w:lang w:val="en-US" w:eastAsia="zh-CN"/>
        </w:rPr>
        <w:t>捌仟肆佰玖拾壹万元整</w:t>
      </w:r>
      <w:r>
        <w:rPr>
          <w:rFonts w:hint="eastAsia" w:ascii="仿宋_GB2312" w:hAnsi="仿宋_GB2312" w:eastAsia="仿宋_GB2312" w:cs="仿宋_GB2312"/>
          <w:sz w:val="32"/>
          <w:szCs w:val="32"/>
          <w:u w:val="none"/>
          <w:lang w:val="en-US" w:eastAsia="zh-CN"/>
        </w:rPr>
        <w:t>（￥</w:t>
      </w:r>
      <w:r>
        <w:rPr>
          <w:rFonts w:hint="eastAsia" w:ascii="Times New Roman" w:hAnsi="Times New Roman" w:eastAsia="仿宋_GB2312" w:cs="Times New Roman"/>
          <w:kern w:val="2"/>
          <w:sz w:val="32"/>
          <w:szCs w:val="22"/>
          <w:u w:val="single"/>
          <w:lang w:val="en-US" w:eastAsia="zh-CN" w:bidi="ar-SA"/>
        </w:rPr>
        <w:t>8491</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（三）竞买人应当提前交纳竞买保证金以确保在到账截止时间前到账，超过到账截止时间的保证金，网上挂牌交易系统将不予受理，造成的损失由竞买人自行承担。</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（四）跨地区或跨行转账的竞买人，需预足资金的在途时间，以免影响竞买人及时取得竞买资格。</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（五）竞买保证金到账时间以网上挂牌交易系统颁发《保证金到账通知书》为准。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（六）竞买保证金开户单位：惠州市公共资源交易中心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竞买保证金账号：网上挂牌交易系统随机产生子账号。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开户银行：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1、中国建设银行惠州广场支行。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2、中国银行惠州分行。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3、中国工商银行股份有限公司惠州富力国际中心支行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4、中国农业银行惠州分行。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5、广发银行惠州江北支行。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6、交通银行惠州分行。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7、惠州市农村商业银行股份有限公司惠城支行。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8、上海浦东发展银行股份有限公司惠州分行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9、中国民生银行股份有限公司惠州分行。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10、中信银行股份有限公司惠州分行。(备注:中信银行股份有限公司惠州分行本行转账须到银行柜面办理)。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十三、网上报价规则</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（一）本次网上挂牌以增价方式进行报价，每次加价幅度为本须知规定增价幅度的整数倍。</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（二）竞买人的首次报价不低于起始价，此后的竞买人报价须高于报价当时的最新网上挂牌价格，并以增价幅度的整数倍加价。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（三）竞买人通过网上挂牌交易提交的报价一经报出，不得撤回。</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（四）在报价期间，竞买人可多次报价。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（五）在报价期内，竞买人必须进行一次有效报价，才能参加网上限时竞价。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（六）竞买人报价有下列情形之一的，为无效报价：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1、报价未在网上挂牌期限内收到的。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2、报价因竞买人网络故障未在网上挂牌报价期限内收到的。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3、报价不符合报价规则的。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4、报价低于网上挂牌起始价的。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5、报价不符合网上挂牌公告、须知及相关交易文件规定的其他情形。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十四、系统操作</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土地与矿业交易系统竞买人操作视频可在本中心网上挂牌交易系统（https://www.hzgtjy.com/）下载。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十五、网上挂牌程序</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（一）公布网上挂牌信息</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我中心将有关宗地的位置、面积、用途、使用年期、规划要求、起始价、增价规则及增价幅度等予以公布。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有意竞买者可登录惠州市公共资源交易中心土地与矿业网上挂牌交易系统网站(https://www.hzgtjy.com/)查询。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（二）申请竞买</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（三）交纳保证金</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（四）网上挂牌报价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1、网上挂牌交易从网上挂牌起始时间起开始接受报价。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2、办理好数字证书、按时足额交付竞买保证金并经网上挂牌交易系统确认的竞买人通过网上挂牌交易系统进行报价。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3、网上挂牌交易系统对符合规定的报价予以确认，并更新显示当前报价。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4、网上挂牌交易系统继续接受新的报价。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5、网上挂牌报价规则见《须知》第十三条。</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（五）网上挂牌截止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1、网上挂牌交易系统将在网上挂牌截止时间自动确定网上挂牌截止。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2、网上挂牌交易期限截止时，无人报价的，挂牌不成交。</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3、网上挂牌交易期限截止时，只有1个竞买人报价，且报价不低于起始价的，挂牌成交，该报价者为竞得人。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网上限时竞价中无人报价的，以网上挂牌截止时出价最高且报价不低于起始价者为竞得人。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经网上挂牌交易系统询问完毕后，没有竞买人表示愿意继续竞价的，以网上挂牌交易截止时报价最高且报价不低于起始价者为竞得人。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（六）资格审查和签订《成交确认书》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highlight w:val="none"/>
        </w:rPr>
        <w:t>网上挂牌交易结束后，竞得人应当自行下载打印《竞买申请书》、《竞价结果通知书》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《竞买保证金到账通知书》并盖章</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highlight w:val="none"/>
        </w:rPr>
        <w:t>竞</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人应当在网上挂牌交易结果公布</w:t>
      </w:r>
      <w:r>
        <w:rPr>
          <w:rFonts w:hint="eastAsia" w:ascii="仿宋_GB2312" w:hAnsi="仿宋_GB2312" w:eastAsia="仿宋_GB2312" w:cs="仿宋_GB2312"/>
          <w:sz w:val="32"/>
          <w:szCs w:val="32"/>
          <w:highlight w:val="none"/>
          <w:lang w:val="en-US" w:eastAsia="zh-CN"/>
        </w:rPr>
        <w:t>之日起5</w:t>
      </w:r>
      <w:r>
        <w:rPr>
          <w:rFonts w:hint="eastAsia" w:ascii="仿宋_GB2312" w:hAnsi="仿宋_GB2312" w:eastAsia="仿宋_GB2312" w:cs="仿宋_GB2312"/>
          <w:sz w:val="32"/>
          <w:szCs w:val="32"/>
          <w:highlight w:val="none"/>
        </w:rPr>
        <w:t>个工作</w:t>
      </w:r>
      <w:r>
        <w:rPr>
          <w:rFonts w:hint="eastAsia" w:ascii="仿宋_GB2312" w:hAnsi="仿宋_GB2312" w:eastAsia="仿宋_GB2312" w:cs="仿宋_GB2312"/>
          <w:color w:val="auto"/>
          <w:sz w:val="32"/>
          <w:szCs w:val="32"/>
          <w:highlight w:val="none"/>
        </w:rPr>
        <w:t>日内持公司公章及下列有关纸质材料到本中心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由委托方进行资格审查，符合竞买资格的，竞得人应当</w:t>
      </w:r>
      <w:r>
        <w:rPr>
          <w:rFonts w:hint="eastAsia" w:ascii="仿宋_GB2312" w:hAnsi="仿宋_GB2312" w:eastAsia="仿宋_GB2312" w:cs="仿宋_GB2312"/>
          <w:color w:val="auto"/>
          <w:sz w:val="32"/>
          <w:szCs w:val="32"/>
          <w:highlight w:val="none"/>
        </w:rPr>
        <w:t>在网上挂牌交易结果公布</w:t>
      </w:r>
      <w:r>
        <w:rPr>
          <w:rFonts w:hint="eastAsia" w:ascii="仿宋_GB2312" w:hAnsi="仿宋_GB2312" w:eastAsia="仿宋_GB2312" w:cs="仿宋_GB2312"/>
          <w:color w:val="auto"/>
          <w:sz w:val="32"/>
          <w:szCs w:val="32"/>
          <w:highlight w:val="none"/>
          <w:lang w:val="en-US" w:eastAsia="zh-CN"/>
        </w:rPr>
        <w:t>之日起5</w:t>
      </w:r>
      <w:r>
        <w:rPr>
          <w:rFonts w:hint="eastAsia" w:ascii="仿宋_GB2312" w:hAnsi="仿宋_GB2312" w:eastAsia="仿宋_GB2312" w:cs="仿宋_GB2312"/>
          <w:color w:val="auto"/>
          <w:sz w:val="32"/>
          <w:szCs w:val="32"/>
          <w:highlight w:val="none"/>
        </w:rPr>
        <w:t>个工作日内</w:t>
      </w:r>
      <w:r>
        <w:rPr>
          <w:rFonts w:hint="eastAsia" w:ascii="仿宋_GB2312" w:hAnsi="仿宋_GB2312" w:eastAsia="仿宋_GB2312" w:cs="仿宋_GB2312"/>
          <w:color w:val="auto"/>
          <w:sz w:val="32"/>
          <w:szCs w:val="32"/>
          <w:highlight w:val="none"/>
          <w:lang w:val="en-US" w:eastAsia="zh-CN"/>
        </w:rPr>
        <w:t>签订</w:t>
      </w:r>
      <w:r>
        <w:rPr>
          <w:rFonts w:hint="eastAsia" w:ascii="仿宋_GB2312" w:hAnsi="仿宋_GB2312" w:eastAsia="仿宋_GB2312" w:cs="仿宋_GB2312"/>
          <w:color w:val="auto"/>
          <w:sz w:val="32"/>
          <w:szCs w:val="32"/>
          <w:highlight w:val="none"/>
        </w:rPr>
        <w:t>《成交确认书》</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（1）《竞买申请书》（加盖公章）。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（2）《竞价结果通知书》（加盖公章）。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（3）《竞买保证金到账通知书》（加盖公章）。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（4）转账凭证复印件（加盖公章）。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（5）申请竞买人有效的《营业执照》复印件（加盖公章）（二份）。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（6）法定代表人身份证复印件（加盖公章）（二份）。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（7）授权他人代理的授权委托书及代理人身份证复印件（核对原件）。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（8）联合竞买协议（联合竞买的提供）。</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（9）竞买人及其控股股东不存在违法、违规、违约行为的承诺书。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上述第（7）、（9）项材料须使用本中心标准样本，可在本系统的“挂牌文件”中下载。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竞买人如需保存上述竞买报名资料应自留备份，本中心不予退还。</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联合竞买协议要约定联合各方的权利和义务。必须明确表达参与联合竞买的各方、参与竞买的代表人、联合各方的出资比例和签订《出让合同》时的受让人。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上述文件中，申请书必须用中文书写，其他文件可以使用其它语言，但必须附中文译本，所有文件的解释以中文译本为准。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（七）网上挂牌出让结果公示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我中心将在本次国有建设用地使用权网上挂牌出让活动结束后10个工作日内，在中国土地市场网、惠州市公共资源交易中心网和本中心电子显示屏公布本次国有土地使用权网上挂牌出让结果。</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十六、注意事项</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（二）本次国有建设用地使用权网上挂牌出让为无底价挂牌出让，按照价高者得的原则确定竞得人。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w:t>
      </w:r>
      <w:r>
        <w:rPr>
          <w:rFonts w:hint="default" w:ascii="仿宋_GB2312" w:hAnsi="仿宋_GB2312" w:eastAsia="仿宋_GB2312" w:cs="仿宋_GB2312"/>
          <w:kern w:val="2"/>
          <w:sz w:val="32"/>
          <w:szCs w:val="32"/>
          <w:lang w:val="en-US" w:eastAsia="zh-CN" w:bidi="ar-SA"/>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w:t>
      </w:r>
      <w:r>
        <w:rPr>
          <w:rFonts w:hint="eastAsia" w:ascii="仿宋_GB2312" w:hAnsi="仿宋_GB2312" w:eastAsia="仿宋_GB2312" w:cs="仿宋_GB2312"/>
          <w:kern w:val="2"/>
          <w:sz w:val="32"/>
          <w:szCs w:val="32"/>
          <w:lang w:val="en-US" w:eastAsia="zh-CN" w:bidi="ar-SA"/>
        </w:rPr>
        <w:t>补充条款</w:t>
      </w:r>
      <w:r>
        <w:rPr>
          <w:rFonts w:hint="default" w:ascii="仿宋_GB2312" w:hAnsi="仿宋_GB2312" w:eastAsia="仿宋_GB2312" w:cs="仿宋_GB2312"/>
          <w:kern w:val="2"/>
          <w:sz w:val="32"/>
          <w:szCs w:val="32"/>
          <w:lang w:val="en-US" w:eastAsia="zh-CN" w:bidi="ar-SA"/>
        </w:rPr>
        <w:t>；也可按约定直接与新公司签订《出让合同》。</w:t>
      </w:r>
    </w:p>
    <w:p>
      <w:pPr>
        <w:spacing w:line="560" w:lineRule="exact"/>
        <w:ind w:firstLine="627" w:firstLineChars="196"/>
        <w:jc w:val="both"/>
        <w:rPr>
          <w:rFonts w:hint="eastAsia" w:ascii="Times New Roman" w:hAnsi="Times New Roman" w:eastAsia="仿宋_GB2312" w:cs="Times New Roman"/>
          <w:kern w:val="2"/>
          <w:sz w:val="32"/>
          <w:szCs w:val="32"/>
          <w:highlight w:val="none"/>
          <w:lang w:val="en-US" w:eastAsia="zh-CN" w:bidi="ar"/>
        </w:rPr>
      </w:pPr>
      <w:r>
        <w:rPr>
          <w:rFonts w:hint="eastAsia" w:ascii="仿宋_GB2312" w:hAnsi="仿宋_GB2312" w:eastAsia="仿宋_GB2312" w:cs="仿宋_GB2312"/>
          <w:kern w:val="2"/>
          <w:sz w:val="32"/>
          <w:szCs w:val="32"/>
          <w:lang w:val="en-US" w:eastAsia="zh-CN" w:bidi="ar-SA"/>
        </w:rPr>
        <w:t>（四）</w:t>
      </w:r>
      <w:r>
        <w:rPr>
          <w:rFonts w:hint="default" w:ascii="仿宋_GB2312" w:hAnsi="仿宋_GB2312" w:eastAsia="仿宋_GB2312" w:cs="仿宋_GB2312"/>
          <w:kern w:val="2"/>
          <w:sz w:val="32"/>
          <w:szCs w:val="32"/>
          <w:lang w:val="en-US" w:eastAsia="zh-CN" w:bidi="ar-SA"/>
        </w:rPr>
        <w:t>联合申请竞买的，联合竞买人在提交竞买申请材料时，须提交一份联合竞买申请书和协议，协议主要规定联合各</w:t>
      </w:r>
      <w:r>
        <w:rPr>
          <w:rFonts w:hint="default" w:ascii="Times New Roman" w:hAnsi="Times New Roman" w:eastAsia="仿宋_GB2312" w:cs="Times New Roman"/>
          <w:kern w:val="2"/>
          <w:sz w:val="32"/>
          <w:szCs w:val="32"/>
          <w:highlight w:val="none"/>
          <w:lang w:val="en-US" w:eastAsia="zh-CN" w:bidi="ar"/>
        </w:rPr>
        <w:t>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w:t>
      </w:r>
      <w:r>
        <w:rPr>
          <w:rFonts w:hint="eastAsia" w:ascii="Times New Roman" w:hAnsi="Times New Roman" w:eastAsia="仿宋_GB2312" w:cs="Times New Roman"/>
          <w:kern w:val="2"/>
          <w:sz w:val="32"/>
          <w:szCs w:val="32"/>
          <w:highlight w:val="none"/>
          <w:lang w:val="en-US" w:eastAsia="zh-CN" w:bidi="ar"/>
        </w:rPr>
        <w:t>补充条款</w:t>
      </w:r>
      <w:r>
        <w:rPr>
          <w:rFonts w:hint="default" w:ascii="Times New Roman" w:hAnsi="Times New Roman" w:eastAsia="仿宋_GB2312" w:cs="Times New Roman"/>
          <w:kern w:val="2"/>
          <w:sz w:val="32"/>
          <w:szCs w:val="32"/>
          <w:highlight w:val="none"/>
          <w:lang w:val="en-US" w:eastAsia="zh-CN" w:bidi="ar"/>
        </w:rPr>
        <w:t>；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（五）确定竞得人后，竞得人持《竞价结果通知书》以及参加本宗地网上挂牌交易的所须资料到惠州市公共资源交易中心土地矿业交易部申办相关成交确认手续。</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《竞价结果通知书》对挂牌人和竞得人具有法律效力，挂牌人改变网上挂牌结果的，或者竞得人放弃竞得宗地的，应当承担相应法律责任。</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六）网上挂牌系统确定成交后，竞得人缴纳的竞买保证金按成交价的10%转作定金。如竞买保证金不足以缴纳定金，不足部分在交易系统确定成交之日起5个工作日内补齐；如竞买保证金转作定金后有剩余，余额抵作土地成交价的预付款。竞得人签订《出让合同》后，定金可抵作土地成交价款，余额转作成交价款。</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以外币缴交竞买保证金的，扣除定金后余额部分返回给竞得人，待竞得人按时缴清成交价款后，再将定金退还，不计利息。</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r>
        <w:rPr>
          <w:rFonts w:hint="eastAsia" w:ascii="仿宋_GB2312" w:hAnsi="仿宋_GB2312" w:eastAsia="仿宋_GB2312" w:cs="仿宋_GB2312"/>
          <w:b/>
          <w:bCs/>
          <w:sz w:val="32"/>
          <w:szCs w:val="32"/>
          <w:highlight w:val="none"/>
          <w:shd w:val="clear" w:color="auto" w:fill="auto"/>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为避免网络延迟问题，竞买人首次出价应在网上挂牌截止前10分钟出价，以防止网上挂牌交易无法及时接收到报价的情况发生。5分钟倒计时竞价期间，请不要在最后时段报价，以防网络延时造成报价提交不成功。</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（八）有下列情形之一的，本中心将暂停、中止或终止网上挂牌交易活动：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1、网上挂牌交易系统受到网络恶意入侵的。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2、因网上挂牌交易系统遭受破坏或发生电力、网络故障等不可抗力因素，导致网上挂牌交易系统不能正常运行的。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3、网上挂牌交易委托人根据有关规定要求暂停、中止或终止网上挂牌交易活动的。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4、涉及土地或矿业权纠纷，不能及时解决的。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5、司法机关要求暂停、中止或终止网上挂牌交易活动的。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6、市自然资源管理部门或交易中心认为应当暂停、中止或终止网上挂牌交易活动的其他情形。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（九）网上挂牌成交价即为该幅地块的总地价款，竞得人除支付成交价款外，还需支付契税、印花税等有关费用。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（十）竞得人与出让人签订《出让合同》后，应当按出让合同约定支付网上挂牌成交价款。竞得人付清全部网上挂牌成交价款后，依法申请办理土地登记，领取《不动产权证书》。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（十一）网上挂牌不成交的，应当按规定由委托方和本中心重新组织出让。</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（十二）本中心认为需要对网上挂牌出让须知、公告及相关交易文件作出修改、补充时，将通过原公告发布渠道公告，不作另行通知。</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（十三）本须知及公告涉及的时间期限，以惠州市公共资源交易中心土地与矿业网上挂牌交易系统服务器的时间为准。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（十四）竞买人在本次网上挂牌交易过程中与惠州市公共资源交易中心发生任何争议，由双方协商。协商不成的可依法提交惠州市仲裁机构仲裁解决。</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（十五）本中心对本《须知》有解释权。未尽事宜依照《招标拍卖挂牌出让国有土地使用权规范》办理。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惠州市公共资源交易中心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eastAsia="仿宋_GB2312"/>
          <w:lang w:val="en-US" w:eastAsia="zh-CN"/>
        </w:rPr>
      </w:pPr>
      <w:r>
        <w:rPr>
          <w:rFonts w:hint="eastAsia" w:ascii="仿宋_GB2312" w:hAnsi="仿宋_GB2312" w:eastAsia="仿宋_GB2312" w:cs="仿宋_GB2312"/>
          <w:kern w:val="2"/>
          <w:sz w:val="32"/>
          <w:szCs w:val="32"/>
          <w:lang w:val="en-US" w:eastAsia="zh-CN" w:bidi="ar-SA"/>
        </w:rPr>
        <w:t xml:space="preserve">                         2021年11月9日</w:t>
      </w:r>
      <w:r>
        <w:rPr>
          <w:rFonts w:hint="eastAsia" w:ascii="仿宋_GB2312" w:hAnsi="宋体" w:eastAsia="仿宋_GB2312" w:cs="仿宋_GB2312"/>
          <w:sz w:val="25"/>
          <w:szCs w:val="25"/>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outlineLvl w:val="9"/>
      </w:pPr>
    </w:p>
    <w:sectPr>
      <w:footerReference r:id="rId3" w:type="default"/>
      <w:pgSz w:w="11906" w:h="16838"/>
      <w:pgMar w:top="1440" w:right="1485"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73EF0"/>
    <w:rsid w:val="03844159"/>
    <w:rsid w:val="0398491D"/>
    <w:rsid w:val="03B8279E"/>
    <w:rsid w:val="04C579EB"/>
    <w:rsid w:val="07175A66"/>
    <w:rsid w:val="07DE34CF"/>
    <w:rsid w:val="08E86ED8"/>
    <w:rsid w:val="0C29337A"/>
    <w:rsid w:val="15937805"/>
    <w:rsid w:val="1F973EF0"/>
    <w:rsid w:val="24973AFA"/>
    <w:rsid w:val="33B40EC2"/>
    <w:rsid w:val="377D59C2"/>
    <w:rsid w:val="38957260"/>
    <w:rsid w:val="3E910382"/>
    <w:rsid w:val="40040C85"/>
    <w:rsid w:val="45622B90"/>
    <w:rsid w:val="45B02BB7"/>
    <w:rsid w:val="478005E7"/>
    <w:rsid w:val="49DD3017"/>
    <w:rsid w:val="4FDF4DC1"/>
    <w:rsid w:val="50E30C28"/>
    <w:rsid w:val="51724468"/>
    <w:rsid w:val="52810728"/>
    <w:rsid w:val="68801B1A"/>
    <w:rsid w:val="69FE57C5"/>
    <w:rsid w:val="6CC001F7"/>
    <w:rsid w:val="722716E9"/>
    <w:rsid w:val="73A81615"/>
    <w:rsid w:val="779259D1"/>
    <w:rsid w:val="7C6125B2"/>
    <w:rsid w:val="7E381C39"/>
    <w:rsid w:val="7F1D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5">
    <w:name w:val="first-child"/>
    <w:basedOn w:val="6"/>
    <w:qFormat/>
    <w:uiPriority w:val="0"/>
  </w:style>
  <w:style w:type="character" w:customStyle="1" w:styleId="16">
    <w:name w:val="actspan2"/>
    <w:basedOn w:val="6"/>
    <w:qFormat/>
    <w:uiPriority w:val="0"/>
  </w:style>
  <w:style w:type="character" w:customStyle="1" w:styleId="17">
    <w:name w:val="layui-layer-tabnow"/>
    <w:basedOn w:val="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2021-08-10T02:46:00Z</dcterms:created>
  <dc:creator>杨惠丹</dc:creator>
  <cp:lastModifiedBy>叶舒</cp:lastModifiedBy>
  <cp:lastPrinted>2021-10-27T00:57:00Z</cp:lastPrinted>
  <dcterms:modified xsi:type="dcterms:W3CDTF">2021-11-10T01:29:06Z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